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9878"/>
      </w:tblGrid>
      <w:tr>
        <w:tc>
          <w:tcPr>
            <w:tcW w:type="dxa" w:w="9878"/>
            <w:shd w:fill="162338"/>
            <w:tcMar>
              <w:top w:w="420" w:type="dxa"/>
              <w:start w:w="460" w:type="dxa"/>
              <w:bottom w:w="390" w:type="dxa"/>
              <w:end w:w="460" w:type="dxa"/>
            </w:tcMar>
          </w:tcPr>
          <w:p>
            <w:pPr>
              <w:spacing w:after="160"/>
            </w:pPr>
            <w:r>
              <w:rPr>
                <w:rFonts w:ascii="Arial" w:hAnsi="Arial"/>
                <w:b/>
                <w:color w:val="FEC901"/>
                <w:sz w:val="18"/>
              </w:rPr>
              <w:t>YELLO EDITORIAL FRANCHISE CONCEPT</w:t>
            </w:r>
          </w:p>
          <w:p>
            <w:pPr>
              <w:spacing w:after="180"/>
            </w:pPr>
            <w:r>
              <w:rPr>
                <w:rFonts w:ascii="Arial" w:hAnsi="Arial"/>
                <w:b/>
                <w:color w:val="FFFFFF"/>
                <w:sz w:val="62"/>
              </w:rPr>
              <w:t>The Sound</w:t>
              <w:br/>
              <w:t>That Found Us</w:t>
            </w:r>
          </w:p>
          <w:p>
            <w:pPr>
              <w:spacing w:after="360"/>
            </w:pPr>
            <w:r>
              <w:rPr>
                <w:rFonts w:ascii="Arial" w:hAnsi="Arial"/>
                <w:b w:val="0"/>
                <w:color w:val="D7E1F1"/>
                <w:sz w:val="28"/>
              </w:rPr>
              <w:t>A Caribbean music discovery series that connects iconic sounds, local culture and the people behind it.</w:t>
            </w:r>
          </w:p>
          <w:p>
            <w:pPr>
              <w:spacing w:after="0"/>
            </w:pPr>
            <w:r>
              <w:rPr>
                <w:rFonts w:ascii="Arial" w:hAnsi="Arial"/>
                <w:b w:val="0"/>
                <w:color w:val="B8B7B8"/>
                <w:sz w:val="18"/>
              </w:rPr>
              <w:t>Campaign concept brief  |  20 August 2026</w:t>
            </w:r>
          </w:p>
        </w:tc>
      </w:tr>
    </w:tbl>
    <w:p/>
    <w:tbl>
      <w:tblPr>
        <w:tblW w:type="auto" w:w="9360"/>
        <w:jc w:val="left"/>
        <w:tblLayout w:type="fixed"/>
        <w:tblLook w:firstColumn="1" w:firstRow="1" w:lastColumn="0" w:lastRow="0" w:noHBand="0" w:noVBand="1" w:val="04A0"/>
      </w:tblPr>
      <w:tblGrid>
        <w:gridCol w:w="9360"/>
      </w:tblGrid>
      <w:tr>
        <w:tc>
          <w:tcPr>
            <w:tcW w:type="dxa" w:w="9360"/>
            <w:shd w:fill="F5F1E9"/>
            <w:tcMar>
              <w:top w:w="150" w:type="dxa"/>
              <w:start w:w="220" w:type="dxa"/>
              <w:bottom w:w="150" w:type="dxa"/>
              <w:end w:w="220" w:type="dxa"/>
            </w:tcMar>
          </w:tcPr>
          <w:p>
            <w:pPr>
              <w:spacing w:after="0"/>
            </w:pPr>
            <w:r>
              <w:rPr>
                <w:rFonts w:ascii="Arial" w:hAnsi="Arial"/>
                <w:b/>
                <w:color w:val="162338"/>
                <w:sz w:val="20"/>
              </w:rPr>
              <w:t xml:space="preserve">The idea  </w:t>
            </w:r>
            <w:r>
              <w:rPr>
                <w:rFonts w:ascii="Arial" w:hAnsi="Arial"/>
                <w:b w:val="0"/>
                <w:color w:val="231F20"/>
                <w:sz w:val="20"/>
              </w:rPr>
              <w:t>A definitive, year-by-year record of the artists, sounds and moments that moved the Caribbean - made discoverable through Yello.</w:t>
            </w:r>
          </w:p>
        </w:tc>
      </w:tr>
    </w:tbl>
    <w:p>
      <w:pPr>
        <w:spacing w:after="20"/>
      </w:pPr>
    </w:p>
    <w:p>
      <w:pPr>
        <w:pStyle w:val="Heading1"/>
      </w:pPr>
      <w:r>
        <w:t>The opportunity</w:t>
      </w:r>
    </w:p>
    <w:p>
      <w:r>
        <w:t>Yello has a credible role in Caribbean culture because it has spent decades helping people find what matters locally. This concept extends that role beyond a directory look-up: it makes Yello a trusted guide to the music, places and stories that shape the region.</w:t>
      </w:r>
    </w:p>
    <w:p>
      <w:r>
        <w:t>The format is built for debate, discovery and return visits. Each instalment names the artist, sound or cultural moment that owned a particular year, then gives people a route to find the real-world culture around it.</w:t>
      </w:r>
    </w:p>
    <w:p>
      <w:pPr>
        <w:pStyle w:val="Heading1"/>
      </w:pPr>
      <w:r>
        <w:t>Why it fits Yello</w:t>
      </w:r>
    </w:p>
    <w:tbl>
      <w:tblPr>
        <w:tblW w:type="auto" w:w="9360"/>
        <w:jc w:val="left"/>
        <w:tblLayout w:type="fixed"/>
        <w:tblLook w:firstColumn="1" w:firstRow="1" w:lastColumn="0" w:lastRow="0" w:noHBand="0" w:noVBand="1" w:val="04A0"/>
      </w:tblPr>
      <w:tblGrid>
        <w:gridCol w:w="2380"/>
        <w:gridCol w:w="6980"/>
      </w:tblGrid>
      <w:tr>
        <w:tc>
          <w:tcPr>
            <w:tcW w:type="dxa" w:w="2380"/>
            <w:shd w:fill="D7E1F1"/>
            <w:vAlign w:val="center"/>
            <w:tcMar>
              <w:top w:w="100" w:type="dxa"/>
              <w:start w:w="140" w:type="dxa"/>
              <w:bottom w:w="100" w:type="dxa"/>
              <w:end w:w="140" w:type="dxa"/>
            </w:tcMar>
          </w:tcPr>
          <w:p>
            <w:pPr>
              <w:spacing w:after="0" w:line="252" w:lineRule="auto"/>
            </w:pPr>
            <w:r/>
            <w:r>
              <w:rPr>
                <w:rFonts w:ascii="Arial" w:hAnsi="Arial"/>
                <w:b/>
                <w:color w:val="162338"/>
                <w:sz w:val="18"/>
              </w:rPr>
              <w:t>Brand renewal</w:t>
            </w:r>
          </w:p>
        </w:tc>
        <w:tc>
          <w:tcPr>
            <w:tcW w:type="dxa" w:w="6980"/>
            <w:vAlign w:val="center"/>
            <w:tcMar>
              <w:top w:w="100" w:type="dxa"/>
              <w:start w:w="140" w:type="dxa"/>
              <w:bottom w:w="100" w:type="dxa"/>
              <w:end w:w="140" w:type="dxa"/>
            </w:tcMar>
          </w:tcPr>
          <w:p>
            <w:pPr>
              <w:spacing w:after="0" w:line="252" w:lineRule="auto"/>
            </w:pPr>
            <w:r/>
            <w:r>
              <w:rPr>
                <w:rFonts w:ascii="Arial" w:hAnsi="Arial"/>
                <w:b w:val="0"/>
                <w:color w:val="231F20"/>
                <w:sz w:val="18"/>
              </w:rPr>
              <w:t>Builds relevance with younger, digital-first audiences while respecting Yello's heritage and regional trust.</w:t>
            </w:r>
          </w:p>
        </w:tc>
      </w:tr>
      <w:tr>
        <w:tc>
          <w:tcPr>
            <w:tcW w:type="dxa" w:w="2380"/>
            <w:shd w:fill="D7E1F1"/>
            <w:vAlign w:val="center"/>
            <w:tcMar>
              <w:top w:w="100" w:type="dxa"/>
              <w:start w:w="140" w:type="dxa"/>
              <w:bottom w:w="100" w:type="dxa"/>
              <w:end w:w="140" w:type="dxa"/>
            </w:tcMar>
          </w:tcPr>
          <w:p>
            <w:pPr>
              <w:spacing w:after="0" w:line="252" w:lineRule="auto"/>
            </w:pPr>
            <w:r/>
            <w:r>
              <w:rPr>
                <w:rFonts w:ascii="Arial" w:hAnsi="Arial"/>
                <w:b/>
                <w:color w:val="162338"/>
                <w:sz w:val="18"/>
              </w:rPr>
              <w:t>Cultural relevance</w:t>
            </w:r>
          </w:p>
        </w:tc>
        <w:tc>
          <w:tcPr>
            <w:tcW w:type="dxa" w:w="6980"/>
            <w:vAlign w:val="center"/>
            <w:tcMar>
              <w:top w:w="100" w:type="dxa"/>
              <w:start w:w="140" w:type="dxa"/>
              <w:bottom w:w="100" w:type="dxa"/>
              <w:end w:w="140" w:type="dxa"/>
            </w:tcMar>
          </w:tcPr>
          <w:p>
            <w:pPr>
              <w:spacing w:after="0" w:line="252" w:lineRule="auto"/>
            </w:pPr>
            <w:r/>
            <w:r>
              <w:rPr>
                <w:rFonts w:ascii="Arial" w:hAnsi="Arial"/>
                <w:b w:val="0"/>
                <w:color w:val="231F20"/>
                <w:sz w:val="18"/>
              </w:rPr>
              <w:t>Turns Caribbean music history into a useful discovery experience, not just entertainment content.</w:t>
            </w:r>
          </w:p>
        </w:tc>
      </w:tr>
      <w:tr>
        <w:tc>
          <w:tcPr>
            <w:tcW w:type="dxa" w:w="2380"/>
            <w:shd w:fill="D7E1F1"/>
            <w:vAlign w:val="center"/>
            <w:tcMar>
              <w:top w:w="100" w:type="dxa"/>
              <w:start w:w="140" w:type="dxa"/>
              <w:bottom w:w="100" w:type="dxa"/>
              <w:end w:w="140" w:type="dxa"/>
            </w:tcMar>
          </w:tcPr>
          <w:p>
            <w:pPr>
              <w:spacing w:after="0" w:line="252" w:lineRule="auto"/>
            </w:pPr>
            <w:r/>
            <w:r>
              <w:rPr>
                <w:rFonts w:ascii="Arial" w:hAnsi="Arial"/>
                <w:b/>
                <w:color w:val="162338"/>
                <w:sz w:val="18"/>
              </w:rPr>
              <w:t>Local visibility</w:t>
            </w:r>
          </w:p>
        </w:tc>
        <w:tc>
          <w:tcPr>
            <w:tcW w:type="dxa" w:w="6980"/>
            <w:vAlign w:val="center"/>
            <w:tcMar>
              <w:top w:w="100" w:type="dxa"/>
              <w:start w:w="140" w:type="dxa"/>
              <w:bottom w:w="100" w:type="dxa"/>
              <w:end w:w="140" w:type="dxa"/>
            </w:tcMar>
          </w:tcPr>
          <w:p>
            <w:pPr>
              <w:spacing w:after="0" w:line="252" w:lineRule="auto"/>
            </w:pPr>
            <w:r/>
            <w:r>
              <w:rPr>
                <w:rFonts w:ascii="Arial" w:hAnsi="Arial"/>
                <w:b w:val="0"/>
                <w:color w:val="231F20"/>
                <w:sz w:val="18"/>
              </w:rPr>
              <w:t>Creates natural pathways to studios, venues, record shops, festivals, music educators, attractions and local businesses.</w:t>
            </w:r>
          </w:p>
        </w:tc>
      </w:tr>
      <w:tr>
        <w:tc>
          <w:tcPr>
            <w:tcW w:type="dxa" w:w="2380"/>
            <w:shd w:fill="D7E1F1"/>
            <w:vAlign w:val="center"/>
            <w:tcMar>
              <w:top w:w="100" w:type="dxa"/>
              <w:start w:w="140" w:type="dxa"/>
              <w:bottom w:w="100" w:type="dxa"/>
              <w:end w:w="140" w:type="dxa"/>
            </w:tcMar>
          </w:tcPr>
          <w:p>
            <w:pPr>
              <w:spacing w:after="0" w:line="252" w:lineRule="auto"/>
            </w:pPr>
            <w:r/>
            <w:r>
              <w:rPr>
                <w:rFonts w:ascii="Arial" w:hAnsi="Arial"/>
                <w:b/>
                <w:color w:val="162338"/>
                <w:sz w:val="18"/>
              </w:rPr>
              <w:t>Regional scale</w:t>
            </w:r>
          </w:p>
        </w:tc>
        <w:tc>
          <w:tcPr>
            <w:tcW w:type="dxa" w:w="6980"/>
            <w:vAlign w:val="center"/>
            <w:tcMar>
              <w:top w:w="100" w:type="dxa"/>
              <w:start w:w="140" w:type="dxa"/>
              <w:bottom w:w="100" w:type="dxa"/>
              <w:end w:w="140" w:type="dxa"/>
            </w:tcMar>
          </w:tcPr>
          <w:p>
            <w:pPr>
              <w:spacing w:after="0" w:line="252" w:lineRule="auto"/>
            </w:pPr>
            <w:r/>
            <w:r>
              <w:rPr>
                <w:rFonts w:ascii="Arial" w:hAnsi="Arial"/>
                <w:b w:val="0"/>
                <w:color w:val="231F20"/>
                <w:sz w:val="18"/>
              </w:rPr>
              <w:t>Starts in Jamaica, then expands island by island with a repeatable editorial framework.</w:t>
            </w:r>
          </w:p>
        </w:tc>
      </w:tr>
    </w:tbl>
    <w:p>
      <w:pPr>
        <w:pStyle w:val="Heading1"/>
      </w:pPr>
      <w:r>
        <w:t>Recommended positioning</w:t>
      </w:r>
    </w:p>
    <w:tbl>
      <w:tblPr>
        <w:tblW w:type="auto" w:w="9360"/>
        <w:jc w:val="left"/>
        <w:tblLayout w:type="fixed"/>
        <w:tblLook w:firstColumn="1" w:firstRow="1" w:lastColumn="0" w:lastRow="0" w:noHBand="0" w:noVBand="1" w:val="04A0"/>
      </w:tblPr>
      <w:tblGrid>
        <w:gridCol w:w="9360"/>
      </w:tblGrid>
      <w:tr>
        <w:tc>
          <w:tcPr>
            <w:tcW w:type="dxa" w:w="9360"/>
            <w:shd w:fill="F5F1E9"/>
            <w:tcMar>
              <w:top w:w="150" w:type="dxa"/>
              <w:start w:w="220" w:type="dxa"/>
              <w:bottom w:w="150" w:type="dxa"/>
              <w:end w:w="220" w:type="dxa"/>
            </w:tcMar>
          </w:tcPr>
          <w:p>
            <w:pPr>
              <w:spacing w:after="0"/>
            </w:pPr>
            <w:r>
              <w:rPr>
                <w:rFonts w:ascii="Arial" w:hAnsi="Arial"/>
                <w:b/>
                <w:color w:val="162338"/>
                <w:sz w:val="20"/>
              </w:rPr>
              <w:t xml:space="preserve">Series title  </w:t>
            </w:r>
            <w:r>
              <w:rPr>
                <w:rFonts w:ascii="Arial" w:hAnsi="Arial"/>
                <w:b w:val="0"/>
                <w:color w:val="231F20"/>
                <w:sz w:val="20"/>
              </w:rPr>
              <w:t>The Sound That Found Us</w:t>
            </w:r>
          </w:p>
        </w:tc>
      </w:tr>
    </w:tbl>
    <w:p>
      <w:pPr>
        <w:spacing w:after="20"/>
      </w:pPr>
    </w:p>
    <w:p>
      <w:r>
        <w:t>Tagline: The artists, songs and cultural moments that shaped Caribbean music - year by year.</w:t>
      </w:r>
    </w:p>
    <w:p>
      <w:r>
        <w:t>This title gives the franchise room to celebrate more than a single performer. A year may belong to an artist, a producer, a riddim, a sound system, a carnival movement, a studio, or a breakthrough song.</w:t>
      </w:r>
    </w:p>
    <w:p>
      <w:pPr>
        <w:pStyle w:val="Heading2"/>
      </w:pPr>
      <w:r>
        <w:t>Editorial rule</w:t>
      </w:r>
    </w:p>
    <w:p>
      <w:r>
        <w:t>This is not a debate about the greatest Caribbean artist of all time. It is a record of the moments when an artist, sound or movement had the region - and sometimes the world - in its hands.</w:t>
      </w:r>
    </w:p>
    <w:p>
      <w:pPr>
        <w:pStyle w:val="Heading1"/>
      </w:pPr>
      <w:r>
        <w:t>Launch recommendation: a Jamaica pilot</w:t>
      </w:r>
    </w:p>
    <w:p>
      <w:r>
        <w:t>Begin with a Jamaica-first edition to establish the voice, visual language and research standard. Jamaica has the cultural depth, archive and global recognition to make the first series feel authoritative. The regional edition can then add new islands and genres without diluting the concept.</w:t>
      </w:r>
    </w:p>
    <w:tbl>
      <w:tblPr>
        <w:tblW w:type="auto" w:w="9360"/>
        <w:jc w:val="left"/>
        <w:tblLayout w:type="fixed"/>
        <w:tblLook w:firstColumn="1" w:firstRow="1" w:lastColumn="0" w:lastRow="0" w:noHBand="0" w:noVBand="1" w:val="04A0"/>
      </w:tblPr>
      <w:tblGrid>
        <w:gridCol w:w="1980"/>
        <w:gridCol w:w="2450"/>
        <w:gridCol w:w="4930"/>
      </w:tblGrid>
      <w:tr>
        <w:tc>
          <w:tcPr>
            <w:tcW w:type="dxa" w:w="1980"/>
            <w:shd w:fill="162338"/>
            <w:vAlign w:val="center"/>
            <w:tcMar>
              <w:top w:w="100" w:type="dxa"/>
              <w:start w:w="140" w:type="dxa"/>
              <w:bottom w:w="100" w:type="dxa"/>
              <w:end w:w="140" w:type="dxa"/>
            </w:tcMar>
          </w:tcPr>
          <w:p>
            <w:pPr>
              <w:spacing w:after="0" w:line="252" w:lineRule="auto"/>
            </w:pPr>
            <w:r/>
            <w:r>
              <w:rPr>
                <w:rFonts w:ascii="Arial" w:hAnsi="Arial"/>
                <w:b/>
                <w:color w:val="FFFFFF"/>
                <w:sz w:val="18"/>
              </w:rPr>
              <w:t>Era</w:t>
            </w:r>
          </w:p>
        </w:tc>
        <w:tc>
          <w:tcPr>
            <w:tcW w:type="dxa" w:w="2450"/>
            <w:shd w:fill="162338"/>
            <w:vAlign w:val="center"/>
            <w:tcMar>
              <w:top w:w="100" w:type="dxa"/>
              <w:start w:w="140" w:type="dxa"/>
              <w:bottom w:w="100" w:type="dxa"/>
              <w:end w:w="140" w:type="dxa"/>
            </w:tcMar>
          </w:tcPr>
          <w:p>
            <w:pPr>
              <w:spacing w:after="0" w:line="252" w:lineRule="auto"/>
            </w:pPr>
            <w:r/>
            <w:r>
              <w:rPr>
                <w:rFonts w:ascii="Arial" w:hAnsi="Arial"/>
                <w:b/>
                <w:color w:val="FFFFFF"/>
                <w:sz w:val="18"/>
              </w:rPr>
              <w:t>Editorial focus</w:t>
            </w:r>
          </w:p>
        </w:tc>
        <w:tc>
          <w:tcPr>
            <w:tcW w:type="dxa" w:w="4930"/>
            <w:shd w:fill="162338"/>
            <w:vAlign w:val="center"/>
            <w:tcMar>
              <w:top w:w="100" w:type="dxa"/>
              <w:start w:w="140" w:type="dxa"/>
              <w:bottom w:w="100" w:type="dxa"/>
              <w:end w:w="140" w:type="dxa"/>
            </w:tcMar>
          </w:tcPr>
          <w:p>
            <w:pPr>
              <w:spacing w:after="0" w:line="252" w:lineRule="auto"/>
            </w:pPr>
            <w:r/>
            <w:r>
              <w:rPr>
                <w:rFonts w:ascii="Arial" w:hAnsi="Arial"/>
                <w:b/>
                <w:color w:val="FFFFFF"/>
                <w:sz w:val="18"/>
              </w:rPr>
              <w:t>What it unlocks</w:t>
            </w:r>
          </w:p>
        </w:tc>
      </w:tr>
      <w:tr>
        <w:tc>
          <w:tcPr>
            <w:tcW w:type="dxa" w:w="1980"/>
            <w:vAlign w:val="center"/>
            <w:tcMar>
              <w:top w:w="100" w:type="dxa"/>
              <w:start w:w="140" w:type="dxa"/>
              <w:bottom w:w="100" w:type="dxa"/>
              <w:end w:w="140" w:type="dxa"/>
            </w:tcMar>
          </w:tcPr>
          <w:p>
            <w:pPr>
              <w:spacing w:after="0" w:line="252" w:lineRule="auto"/>
            </w:pPr>
            <w:r/>
            <w:r>
              <w:rPr>
                <w:rFonts w:ascii="Arial" w:hAnsi="Arial"/>
                <w:b/>
                <w:color w:val="162338"/>
                <w:sz w:val="17"/>
              </w:rPr>
              <w:t>1960-1966</w:t>
            </w:r>
          </w:p>
        </w:tc>
        <w:tc>
          <w:tcPr>
            <w:tcW w:type="dxa" w:w="2450"/>
            <w:vAlign w:val="center"/>
            <w:tcMar>
              <w:top w:w="100" w:type="dxa"/>
              <w:start w:w="140" w:type="dxa"/>
              <w:bottom w:w="100" w:type="dxa"/>
              <w:end w:w="140" w:type="dxa"/>
            </w:tcMar>
          </w:tcPr>
          <w:p>
            <w:pPr>
              <w:spacing w:after="0" w:line="252" w:lineRule="auto"/>
            </w:pPr>
            <w:r/>
            <w:r>
              <w:rPr>
                <w:rFonts w:ascii="Arial" w:hAnsi="Arial"/>
                <w:b w:val="0"/>
                <w:color w:val="231F20"/>
                <w:sz w:val="17"/>
              </w:rPr>
              <w:t>Ska</w:t>
            </w:r>
          </w:p>
        </w:tc>
        <w:tc>
          <w:tcPr>
            <w:tcW w:type="dxa" w:w="4930"/>
            <w:vAlign w:val="center"/>
            <w:tcMar>
              <w:top w:w="100" w:type="dxa"/>
              <w:start w:w="140" w:type="dxa"/>
              <w:bottom w:w="100" w:type="dxa"/>
              <w:end w:w="140" w:type="dxa"/>
            </w:tcMar>
          </w:tcPr>
          <w:p>
            <w:pPr>
              <w:spacing w:after="0" w:line="252" w:lineRule="auto"/>
            </w:pPr>
            <w:r/>
            <w:r>
              <w:rPr>
                <w:rFonts w:ascii="Arial" w:hAnsi="Arial"/>
                <w:b w:val="0"/>
                <w:color w:val="231F20"/>
                <w:sz w:val="17"/>
              </w:rPr>
              <w:t>The birth of a modern Jamaican sound and its community roots.</w:t>
            </w:r>
          </w:p>
        </w:tc>
      </w:tr>
      <w:tr>
        <w:tc>
          <w:tcPr>
            <w:tcW w:type="dxa" w:w="1980"/>
            <w:shd w:fill="F4F6F9"/>
            <w:vAlign w:val="center"/>
            <w:tcMar>
              <w:top w:w="100" w:type="dxa"/>
              <w:start w:w="140" w:type="dxa"/>
              <w:bottom w:w="100" w:type="dxa"/>
              <w:end w:w="140" w:type="dxa"/>
            </w:tcMar>
          </w:tcPr>
          <w:p>
            <w:pPr>
              <w:spacing w:after="0" w:line="252" w:lineRule="auto"/>
            </w:pPr>
            <w:r/>
            <w:r>
              <w:rPr>
                <w:rFonts w:ascii="Arial" w:hAnsi="Arial"/>
                <w:b/>
                <w:color w:val="162338"/>
                <w:sz w:val="17"/>
              </w:rPr>
              <w:t>1966-1971</w:t>
            </w:r>
          </w:p>
        </w:tc>
        <w:tc>
          <w:tcPr>
            <w:tcW w:type="dxa" w:w="245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Rocksteady and early reggae</w:t>
            </w:r>
          </w:p>
        </w:tc>
        <w:tc>
          <w:tcPr>
            <w:tcW w:type="dxa" w:w="493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A bridge between local dance floors, recording culture and global influence.</w:t>
            </w:r>
          </w:p>
        </w:tc>
      </w:tr>
      <w:tr>
        <w:tc>
          <w:tcPr>
            <w:tcW w:type="dxa" w:w="1980"/>
            <w:vAlign w:val="center"/>
            <w:tcMar>
              <w:top w:w="100" w:type="dxa"/>
              <w:start w:w="140" w:type="dxa"/>
              <w:bottom w:w="100" w:type="dxa"/>
              <w:end w:w="140" w:type="dxa"/>
            </w:tcMar>
          </w:tcPr>
          <w:p>
            <w:pPr>
              <w:spacing w:after="0" w:line="252" w:lineRule="auto"/>
            </w:pPr>
            <w:r/>
            <w:r>
              <w:rPr>
                <w:rFonts w:ascii="Arial" w:hAnsi="Arial"/>
                <w:b/>
                <w:color w:val="162338"/>
                <w:sz w:val="17"/>
              </w:rPr>
              <w:t>1972-1980</w:t>
            </w:r>
          </w:p>
        </w:tc>
        <w:tc>
          <w:tcPr>
            <w:tcW w:type="dxa" w:w="2450"/>
            <w:vAlign w:val="center"/>
            <w:tcMar>
              <w:top w:w="100" w:type="dxa"/>
              <w:start w:w="140" w:type="dxa"/>
              <w:bottom w:w="100" w:type="dxa"/>
              <w:end w:w="140" w:type="dxa"/>
            </w:tcMar>
          </w:tcPr>
          <w:p>
            <w:pPr>
              <w:spacing w:after="0" w:line="252" w:lineRule="auto"/>
            </w:pPr>
            <w:r/>
            <w:r>
              <w:rPr>
                <w:rFonts w:ascii="Arial" w:hAnsi="Arial"/>
                <w:b w:val="0"/>
                <w:color w:val="231F20"/>
                <w:sz w:val="17"/>
              </w:rPr>
              <w:t>Roots reggae</w:t>
            </w:r>
          </w:p>
        </w:tc>
        <w:tc>
          <w:tcPr>
            <w:tcW w:type="dxa" w:w="4930"/>
            <w:vAlign w:val="center"/>
            <w:tcMar>
              <w:top w:w="100" w:type="dxa"/>
              <w:start w:w="140" w:type="dxa"/>
              <w:bottom w:w="100" w:type="dxa"/>
              <w:end w:w="140" w:type="dxa"/>
            </w:tcMar>
          </w:tcPr>
          <w:p>
            <w:pPr>
              <w:spacing w:after="0" w:line="252" w:lineRule="auto"/>
            </w:pPr>
            <w:r/>
            <w:r>
              <w:rPr>
                <w:rFonts w:ascii="Arial" w:hAnsi="Arial"/>
                <w:b w:val="0"/>
                <w:color w:val="231F20"/>
                <w:sz w:val="17"/>
              </w:rPr>
              <w:t>Music, identity and Jamaica's worldwide cultural breakthrough.</w:t>
            </w:r>
          </w:p>
        </w:tc>
      </w:tr>
      <w:tr>
        <w:tc>
          <w:tcPr>
            <w:tcW w:type="dxa" w:w="1980"/>
            <w:shd w:fill="F4F6F9"/>
            <w:vAlign w:val="center"/>
            <w:tcMar>
              <w:top w:w="100" w:type="dxa"/>
              <w:start w:w="140" w:type="dxa"/>
              <w:bottom w:w="100" w:type="dxa"/>
              <w:end w:w="140" w:type="dxa"/>
            </w:tcMar>
          </w:tcPr>
          <w:p>
            <w:pPr>
              <w:spacing w:after="0" w:line="252" w:lineRule="auto"/>
            </w:pPr>
            <w:r/>
            <w:r>
              <w:rPr>
                <w:rFonts w:ascii="Arial" w:hAnsi="Arial"/>
                <w:b/>
                <w:color w:val="162338"/>
                <w:sz w:val="17"/>
              </w:rPr>
              <w:t>1981-1999</w:t>
            </w:r>
          </w:p>
        </w:tc>
        <w:tc>
          <w:tcPr>
            <w:tcW w:type="dxa" w:w="245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Dancehall's rise</w:t>
            </w:r>
          </w:p>
        </w:tc>
        <w:tc>
          <w:tcPr>
            <w:tcW w:type="dxa" w:w="493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A bold era of DJs, producers, sound systems and youth culture.</w:t>
            </w:r>
          </w:p>
        </w:tc>
      </w:tr>
      <w:tr>
        <w:tc>
          <w:tcPr>
            <w:tcW w:type="dxa" w:w="1980"/>
            <w:vAlign w:val="center"/>
            <w:tcMar>
              <w:top w:w="100" w:type="dxa"/>
              <w:start w:w="140" w:type="dxa"/>
              <w:bottom w:w="100" w:type="dxa"/>
              <w:end w:w="140" w:type="dxa"/>
            </w:tcMar>
          </w:tcPr>
          <w:p>
            <w:pPr>
              <w:spacing w:after="0" w:line="252" w:lineRule="auto"/>
            </w:pPr>
            <w:r/>
            <w:r>
              <w:rPr>
                <w:rFonts w:ascii="Arial" w:hAnsi="Arial"/>
                <w:b/>
                <w:color w:val="162338"/>
                <w:sz w:val="17"/>
              </w:rPr>
              <w:t>2000-2010</w:t>
            </w:r>
          </w:p>
        </w:tc>
        <w:tc>
          <w:tcPr>
            <w:tcW w:type="dxa" w:w="2450"/>
            <w:vAlign w:val="center"/>
            <w:tcMar>
              <w:top w:w="100" w:type="dxa"/>
              <w:start w:w="140" w:type="dxa"/>
              <w:bottom w:w="100" w:type="dxa"/>
              <w:end w:w="140" w:type="dxa"/>
            </w:tcMar>
          </w:tcPr>
          <w:p>
            <w:pPr>
              <w:spacing w:after="0" w:line="252" w:lineRule="auto"/>
            </w:pPr>
            <w:r/>
            <w:r>
              <w:rPr>
                <w:rFonts w:ascii="Arial" w:hAnsi="Arial"/>
                <w:b w:val="0"/>
                <w:color w:val="231F20"/>
                <w:sz w:val="17"/>
              </w:rPr>
              <w:t>Digital dancehall and crossover</w:t>
            </w:r>
          </w:p>
        </w:tc>
        <w:tc>
          <w:tcPr>
            <w:tcW w:type="dxa" w:w="4930"/>
            <w:vAlign w:val="center"/>
            <w:tcMar>
              <w:top w:w="100" w:type="dxa"/>
              <w:start w:w="140" w:type="dxa"/>
              <w:bottom w:w="100" w:type="dxa"/>
              <w:end w:w="140" w:type="dxa"/>
            </w:tcMar>
          </w:tcPr>
          <w:p>
            <w:pPr>
              <w:spacing w:after="0" w:line="252" w:lineRule="auto"/>
            </w:pPr>
            <w:r/>
            <w:r>
              <w:rPr>
                <w:rFonts w:ascii="Arial" w:hAnsi="Arial"/>
                <w:b w:val="0"/>
                <w:color w:val="231F20"/>
                <w:sz w:val="17"/>
              </w:rPr>
              <w:t>Global hits, new production styles and a wider Caribbean audience.</w:t>
            </w:r>
          </w:p>
        </w:tc>
      </w:tr>
      <w:tr>
        <w:tc>
          <w:tcPr>
            <w:tcW w:type="dxa" w:w="1980"/>
            <w:shd w:fill="F4F6F9"/>
            <w:vAlign w:val="center"/>
            <w:tcMar>
              <w:top w:w="100" w:type="dxa"/>
              <w:start w:w="140" w:type="dxa"/>
              <w:bottom w:w="100" w:type="dxa"/>
              <w:end w:w="140" w:type="dxa"/>
            </w:tcMar>
          </w:tcPr>
          <w:p>
            <w:pPr>
              <w:spacing w:after="0" w:line="252" w:lineRule="auto"/>
            </w:pPr>
            <w:r/>
            <w:r>
              <w:rPr>
                <w:rFonts w:ascii="Arial" w:hAnsi="Arial"/>
                <w:b/>
                <w:color w:val="162338"/>
                <w:sz w:val="17"/>
              </w:rPr>
              <w:t>2011-present</w:t>
            </w:r>
          </w:p>
        </w:tc>
        <w:tc>
          <w:tcPr>
            <w:tcW w:type="dxa" w:w="245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New-school and revival</w:t>
            </w:r>
          </w:p>
        </w:tc>
        <w:tc>
          <w:tcPr>
            <w:tcW w:type="dxa" w:w="493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Today's artists, diaspora influence and the next generation of discovery.</w:t>
            </w:r>
          </w:p>
        </w:tc>
      </w:tr>
    </w:tbl>
    <w:p>
      <w:pPr>
        <w:pStyle w:val="Heading1"/>
      </w:pPr>
      <w:r>
        <w:t>The entry template</w:t>
      </w:r>
    </w:p>
    <w:p>
      <w:r>
        <w:t>Every year follows the same reader-friendly rhythm, so audiences know what to expect while the stories remain fresh.</w:t>
      </w:r>
    </w:p>
    <w:tbl>
      <w:tblPr>
        <w:tblW w:type="auto" w:w="9360"/>
        <w:jc w:val="left"/>
        <w:tblLayout w:type="fixed"/>
        <w:tblLook w:firstColumn="1" w:firstRow="1" w:lastColumn="0" w:lastRow="0" w:noHBand="0" w:noVBand="1" w:val="04A0"/>
      </w:tblPr>
      <w:tblGrid>
        <w:gridCol w:w="2800"/>
        <w:gridCol w:w="6560"/>
      </w:tblGrid>
      <w:tr>
        <w:tc>
          <w:tcPr>
            <w:tcW w:type="dxa" w:w="2800"/>
            <w:shd w:fill="F5F1E9"/>
            <w:vAlign w:val="center"/>
            <w:tcMar>
              <w:top w:w="100" w:type="dxa"/>
              <w:start w:w="140" w:type="dxa"/>
              <w:bottom w:w="100" w:type="dxa"/>
              <w:end w:w="140" w:type="dxa"/>
            </w:tcMar>
          </w:tcPr>
          <w:p>
            <w:pPr>
              <w:spacing w:after="0" w:line="252" w:lineRule="auto"/>
            </w:pPr>
            <w:r/>
            <w:r>
              <w:rPr>
                <w:rFonts w:ascii="Arial" w:hAnsi="Arial"/>
                <w:b/>
                <w:color w:val="162338"/>
                <w:sz w:val="18"/>
              </w:rPr>
              <w:t>1. The moment</w:t>
            </w:r>
          </w:p>
        </w:tc>
        <w:tc>
          <w:tcPr>
            <w:tcW w:type="dxa" w:w="6560"/>
            <w:vAlign w:val="center"/>
            <w:tcMar>
              <w:top w:w="100" w:type="dxa"/>
              <w:start w:w="140" w:type="dxa"/>
              <w:bottom w:w="100" w:type="dxa"/>
              <w:end w:w="140" w:type="dxa"/>
            </w:tcMar>
          </w:tcPr>
          <w:p>
            <w:pPr>
              <w:spacing w:after="0" w:line="252" w:lineRule="auto"/>
            </w:pPr>
            <w:r/>
            <w:r>
              <w:rPr>
                <w:rFonts w:ascii="Arial" w:hAnsi="Arial"/>
                <w:b w:val="0"/>
                <w:color w:val="231F20"/>
                <w:sz w:val="18"/>
              </w:rPr>
              <w:t>Year, selected artist/sound and a striking hero visual.</w:t>
            </w:r>
          </w:p>
        </w:tc>
      </w:tr>
      <w:tr>
        <w:tc>
          <w:tcPr>
            <w:tcW w:type="dxa" w:w="2800"/>
            <w:shd w:fill="F5F1E9"/>
            <w:vAlign w:val="center"/>
            <w:tcMar>
              <w:top w:w="100" w:type="dxa"/>
              <w:start w:w="140" w:type="dxa"/>
              <w:bottom w:w="100" w:type="dxa"/>
              <w:end w:w="140" w:type="dxa"/>
            </w:tcMar>
          </w:tcPr>
          <w:p>
            <w:pPr>
              <w:spacing w:after="0" w:line="252" w:lineRule="auto"/>
            </w:pPr>
            <w:r/>
            <w:r>
              <w:rPr>
                <w:rFonts w:ascii="Arial" w:hAnsi="Arial"/>
                <w:b/>
                <w:color w:val="162338"/>
                <w:sz w:val="18"/>
              </w:rPr>
              <w:t>2. Why it owned the year</w:t>
            </w:r>
          </w:p>
        </w:tc>
        <w:tc>
          <w:tcPr>
            <w:tcW w:type="dxa" w:w="6560"/>
            <w:vAlign w:val="center"/>
            <w:tcMar>
              <w:top w:w="100" w:type="dxa"/>
              <w:start w:w="140" w:type="dxa"/>
              <w:bottom w:w="100" w:type="dxa"/>
              <w:end w:w="140" w:type="dxa"/>
            </w:tcMar>
          </w:tcPr>
          <w:p>
            <w:pPr>
              <w:spacing w:after="0" w:line="252" w:lineRule="auto"/>
            </w:pPr>
            <w:r/>
            <w:r>
              <w:rPr>
                <w:rFonts w:ascii="Arial" w:hAnsi="Arial"/>
                <w:b w:val="0"/>
                <w:color w:val="231F20"/>
                <w:sz w:val="18"/>
              </w:rPr>
              <w:t>A concise, well-researched explanation of the music, reach and cultural impact.</w:t>
            </w:r>
          </w:p>
        </w:tc>
      </w:tr>
      <w:tr>
        <w:tc>
          <w:tcPr>
            <w:tcW w:type="dxa" w:w="2800"/>
            <w:shd w:fill="F5F1E9"/>
            <w:vAlign w:val="center"/>
            <w:tcMar>
              <w:top w:w="100" w:type="dxa"/>
              <w:start w:w="140" w:type="dxa"/>
              <w:bottom w:w="100" w:type="dxa"/>
              <w:end w:w="140" w:type="dxa"/>
            </w:tcMar>
          </w:tcPr>
          <w:p>
            <w:pPr>
              <w:spacing w:after="0" w:line="252" w:lineRule="auto"/>
            </w:pPr>
            <w:r/>
            <w:r>
              <w:rPr>
                <w:rFonts w:ascii="Arial" w:hAnsi="Arial"/>
                <w:b/>
                <w:color w:val="162338"/>
                <w:sz w:val="18"/>
              </w:rPr>
              <w:t>3. The sound and place</w:t>
            </w:r>
          </w:p>
        </w:tc>
        <w:tc>
          <w:tcPr>
            <w:tcW w:type="dxa" w:w="6560"/>
            <w:vAlign w:val="center"/>
            <w:tcMar>
              <w:top w:w="100" w:type="dxa"/>
              <w:start w:w="140" w:type="dxa"/>
              <w:bottom w:w="100" w:type="dxa"/>
              <w:end w:w="140" w:type="dxa"/>
            </w:tcMar>
          </w:tcPr>
          <w:p>
            <w:pPr>
              <w:spacing w:after="0" w:line="252" w:lineRule="auto"/>
            </w:pPr>
            <w:r/>
            <w:r>
              <w:rPr>
                <w:rFonts w:ascii="Arial" w:hAnsi="Arial"/>
                <w:b w:val="0"/>
                <w:color w:val="231F20"/>
                <w:sz w:val="18"/>
              </w:rPr>
              <w:t>Genre, island/city and the scene that gave the moment context.</w:t>
            </w:r>
          </w:p>
        </w:tc>
      </w:tr>
      <w:tr>
        <w:tc>
          <w:tcPr>
            <w:tcW w:type="dxa" w:w="2800"/>
            <w:shd w:fill="F5F1E9"/>
            <w:vAlign w:val="center"/>
            <w:tcMar>
              <w:top w:w="100" w:type="dxa"/>
              <w:start w:w="140" w:type="dxa"/>
              <w:bottom w:w="100" w:type="dxa"/>
              <w:end w:w="140" w:type="dxa"/>
            </w:tcMar>
          </w:tcPr>
          <w:p>
            <w:pPr>
              <w:spacing w:after="0" w:line="252" w:lineRule="auto"/>
            </w:pPr>
            <w:r/>
            <w:r>
              <w:rPr>
                <w:rFonts w:ascii="Arial" w:hAnsi="Arial"/>
                <w:b/>
                <w:color w:val="162338"/>
                <w:sz w:val="18"/>
              </w:rPr>
              <w:t>4. Listen / watch</w:t>
            </w:r>
          </w:p>
        </w:tc>
        <w:tc>
          <w:tcPr>
            <w:tcW w:type="dxa" w:w="6560"/>
            <w:vAlign w:val="center"/>
            <w:tcMar>
              <w:top w:w="100" w:type="dxa"/>
              <w:start w:w="140" w:type="dxa"/>
              <w:bottom w:w="100" w:type="dxa"/>
              <w:end w:w="140" w:type="dxa"/>
            </w:tcMar>
          </w:tcPr>
          <w:p>
            <w:pPr>
              <w:spacing w:after="0" w:line="252" w:lineRule="auto"/>
            </w:pPr>
            <w:r/>
            <w:r>
              <w:rPr>
                <w:rFonts w:ascii="Arial" w:hAnsi="Arial"/>
                <w:b w:val="0"/>
                <w:color w:val="231F20"/>
                <w:sz w:val="18"/>
              </w:rPr>
              <w:t>Key tracks, performances or archival footage links where licensed and appropriate.</w:t>
            </w:r>
          </w:p>
        </w:tc>
      </w:tr>
      <w:tr>
        <w:tc>
          <w:tcPr>
            <w:tcW w:type="dxa" w:w="2800"/>
            <w:shd w:fill="F5F1E9"/>
            <w:vAlign w:val="center"/>
            <w:tcMar>
              <w:top w:w="100" w:type="dxa"/>
              <w:start w:w="140" w:type="dxa"/>
              <w:bottom w:w="100" w:type="dxa"/>
              <w:end w:w="140" w:type="dxa"/>
            </w:tcMar>
          </w:tcPr>
          <w:p>
            <w:pPr>
              <w:spacing w:after="0" w:line="252" w:lineRule="auto"/>
            </w:pPr>
            <w:r/>
            <w:r>
              <w:rPr>
                <w:rFonts w:ascii="Arial" w:hAnsi="Arial"/>
                <w:b/>
                <w:color w:val="162338"/>
                <w:sz w:val="18"/>
              </w:rPr>
              <w:t>5. Also in the conversation</w:t>
            </w:r>
          </w:p>
        </w:tc>
        <w:tc>
          <w:tcPr>
            <w:tcW w:type="dxa" w:w="6560"/>
            <w:vAlign w:val="center"/>
            <w:tcMar>
              <w:top w:w="100" w:type="dxa"/>
              <w:start w:w="140" w:type="dxa"/>
              <w:bottom w:w="100" w:type="dxa"/>
              <w:end w:w="140" w:type="dxa"/>
            </w:tcMar>
          </w:tcPr>
          <w:p>
            <w:pPr>
              <w:spacing w:after="0" w:line="252" w:lineRule="auto"/>
            </w:pPr>
            <w:r/>
            <w:r>
              <w:rPr>
                <w:rFonts w:ascii="Arial" w:hAnsi="Arial"/>
                <w:b w:val="0"/>
                <w:color w:val="231F20"/>
                <w:sz w:val="18"/>
              </w:rPr>
              <w:t>A respectful acknowledgement of competing artists, records or movements.</w:t>
            </w:r>
          </w:p>
        </w:tc>
      </w:tr>
      <w:tr>
        <w:tc>
          <w:tcPr>
            <w:tcW w:type="dxa" w:w="2800"/>
            <w:shd w:fill="F5F1E9"/>
            <w:vAlign w:val="center"/>
            <w:tcMar>
              <w:top w:w="100" w:type="dxa"/>
              <w:start w:w="140" w:type="dxa"/>
              <w:bottom w:w="100" w:type="dxa"/>
              <w:end w:w="140" w:type="dxa"/>
            </w:tcMar>
          </w:tcPr>
          <w:p>
            <w:pPr>
              <w:spacing w:after="0" w:line="252" w:lineRule="auto"/>
            </w:pPr>
            <w:r/>
            <w:r>
              <w:rPr>
                <w:rFonts w:ascii="Arial" w:hAnsi="Arial"/>
                <w:b/>
                <w:color w:val="162338"/>
                <w:sz w:val="18"/>
              </w:rPr>
              <w:t>6. Find the culture</w:t>
            </w:r>
          </w:p>
        </w:tc>
        <w:tc>
          <w:tcPr>
            <w:tcW w:type="dxa" w:w="6560"/>
            <w:vAlign w:val="center"/>
            <w:tcMar>
              <w:top w:w="100" w:type="dxa"/>
              <w:start w:w="140" w:type="dxa"/>
              <w:bottom w:w="100" w:type="dxa"/>
              <w:end w:w="140" w:type="dxa"/>
            </w:tcMar>
          </w:tcPr>
          <w:p>
            <w:pPr>
              <w:spacing w:after="0" w:line="252" w:lineRule="auto"/>
            </w:pPr>
            <w:r/>
            <w:r>
              <w:rPr>
                <w:rFonts w:ascii="Arial" w:hAnsi="Arial"/>
                <w:b w:val="0"/>
                <w:color w:val="231F20"/>
                <w:sz w:val="18"/>
              </w:rPr>
              <w:t>A Yello discovery route to relevant venues, studios, shops, festivals, museums and services.</w:t>
            </w:r>
          </w:p>
        </w:tc>
      </w:tr>
    </w:tbl>
    <w:p>
      <w:pPr>
        <w:pStyle w:val="Heading1"/>
      </w:pPr>
      <w:r>
        <w:t>How Yello becomes useful</w:t>
      </w:r>
    </w:p>
    <w:p>
      <w:r>
        <w:t>The cultural story should always lead. The FindYello layer arrives as the natural next step for someone who wants to experience, support or learn more about the scene.</w:t>
      </w:r>
    </w:p>
    <w:p>
      <w:pPr>
        <w:pStyle w:val="ListBullet"/>
        <w:spacing w:after="40" w:line="264" w:lineRule="auto"/>
      </w:pPr>
      <w:r>
        <w:t>A Studio One story can lead to record shops, music museums, tours and live venues.</w:t>
      </w:r>
    </w:p>
    <w:p>
      <w:pPr>
        <w:pStyle w:val="ListBullet"/>
        <w:spacing w:after="40" w:line="264" w:lineRule="auto"/>
      </w:pPr>
      <w:r>
        <w:t>A carnival or soca story can lead to costume makers, event services, bands and local accommodation.</w:t>
      </w:r>
    </w:p>
    <w:p>
      <w:pPr>
        <w:pStyle w:val="ListBullet"/>
        <w:spacing w:after="40" w:line="264" w:lineRule="auto"/>
      </w:pPr>
      <w:r>
        <w:t>A new artist feature can lead to production studios, videographers, music schools and performance spaces.</w:t>
      </w:r>
    </w:p>
    <w:p>
      <w:pPr>
        <w:pStyle w:val="ListBullet"/>
        <w:spacing w:after="40" w:line="264" w:lineRule="auto"/>
      </w:pPr>
      <w:r>
        <w:t>A travel-minded reader can save a culture route built around food, nightlife, attractions and events.</w:t>
      </w:r>
    </w:p>
    <w:p>
      <w:pPr>
        <w:pStyle w:val="Heading1"/>
      </w:pPr>
      <w:r>
        <w:t>Content system and rollout</w:t>
      </w:r>
    </w:p>
    <w:p>
      <w:r>
        <w:t>The franchise should behave like one connected editorial property: long-form storytelling builds authority; social starts the conversation; FindYello turns interest into discovery.</w:t>
      </w:r>
    </w:p>
    <w:tbl>
      <w:tblPr>
        <w:tblW w:type="auto" w:w="9360"/>
        <w:jc w:val="left"/>
        <w:tblLayout w:type="fixed"/>
        <w:tblLook w:firstColumn="1" w:firstRow="1" w:lastColumn="0" w:lastRow="0" w:noHBand="0" w:noVBand="1" w:val="04A0"/>
      </w:tblPr>
      <w:tblGrid>
        <w:gridCol w:w="2140"/>
        <w:gridCol w:w="2880"/>
        <w:gridCol w:w="4340"/>
      </w:tblGrid>
      <w:tr>
        <w:tc>
          <w:tcPr>
            <w:tcW w:type="dxa" w:w="2140"/>
            <w:shd w:fill="162338"/>
            <w:vAlign w:val="center"/>
            <w:tcMar>
              <w:top w:w="100" w:type="dxa"/>
              <w:start w:w="140" w:type="dxa"/>
              <w:bottom w:w="100" w:type="dxa"/>
              <w:end w:w="140" w:type="dxa"/>
            </w:tcMar>
          </w:tcPr>
          <w:p>
            <w:pPr>
              <w:spacing w:after="0" w:line="252" w:lineRule="auto"/>
            </w:pPr>
            <w:r/>
            <w:r>
              <w:rPr>
                <w:rFonts w:ascii="Arial" w:hAnsi="Arial"/>
                <w:b/>
                <w:color w:val="FFFFFF"/>
                <w:sz w:val="18"/>
              </w:rPr>
              <w:t>Format</w:t>
            </w:r>
          </w:p>
        </w:tc>
        <w:tc>
          <w:tcPr>
            <w:tcW w:type="dxa" w:w="2880"/>
            <w:shd w:fill="162338"/>
            <w:vAlign w:val="center"/>
            <w:tcMar>
              <w:top w:w="100" w:type="dxa"/>
              <w:start w:w="140" w:type="dxa"/>
              <w:bottom w:w="100" w:type="dxa"/>
              <w:end w:w="140" w:type="dxa"/>
            </w:tcMar>
          </w:tcPr>
          <w:p>
            <w:pPr>
              <w:spacing w:after="0" w:line="252" w:lineRule="auto"/>
            </w:pPr>
            <w:r/>
            <w:r>
              <w:rPr>
                <w:rFonts w:ascii="Arial" w:hAnsi="Arial"/>
                <w:b/>
                <w:color w:val="FFFFFF"/>
                <w:sz w:val="18"/>
              </w:rPr>
              <w:t>Role</w:t>
            </w:r>
          </w:p>
        </w:tc>
        <w:tc>
          <w:tcPr>
            <w:tcW w:type="dxa" w:w="4340"/>
            <w:shd w:fill="162338"/>
            <w:vAlign w:val="center"/>
            <w:tcMar>
              <w:top w:w="100" w:type="dxa"/>
              <w:start w:w="140" w:type="dxa"/>
              <w:bottom w:w="100" w:type="dxa"/>
              <w:end w:w="140" w:type="dxa"/>
            </w:tcMar>
          </w:tcPr>
          <w:p>
            <w:pPr>
              <w:spacing w:after="0" w:line="252" w:lineRule="auto"/>
            </w:pPr>
            <w:r/>
            <w:r>
              <w:rPr>
                <w:rFonts w:ascii="Arial" w:hAnsi="Arial"/>
                <w:b/>
                <w:color w:val="FFFFFF"/>
                <w:sz w:val="18"/>
              </w:rPr>
              <w:t>Suggested execution</w:t>
            </w:r>
          </w:p>
        </w:tc>
      </w:tr>
      <w:tr>
        <w:tc>
          <w:tcPr>
            <w:tcW w:type="dxa" w:w="2140"/>
            <w:vAlign w:val="center"/>
            <w:tcMar>
              <w:top w:w="100" w:type="dxa"/>
              <w:start w:w="140" w:type="dxa"/>
              <w:bottom w:w="100" w:type="dxa"/>
              <w:end w:w="140" w:type="dxa"/>
            </w:tcMar>
          </w:tcPr>
          <w:p>
            <w:pPr>
              <w:spacing w:after="0" w:line="252" w:lineRule="auto"/>
            </w:pPr>
            <w:r/>
            <w:r>
              <w:rPr>
                <w:rFonts w:ascii="Arial" w:hAnsi="Arial"/>
                <w:b/>
                <w:color w:val="162338"/>
                <w:sz w:val="17"/>
              </w:rPr>
              <w:t>Hero article</w:t>
            </w:r>
          </w:p>
        </w:tc>
        <w:tc>
          <w:tcPr>
            <w:tcW w:type="dxa" w:w="2880"/>
            <w:vAlign w:val="center"/>
            <w:tcMar>
              <w:top w:w="100" w:type="dxa"/>
              <w:start w:w="140" w:type="dxa"/>
              <w:bottom w:w="100" w:type="dxa"/>
              <w:end w:w="140" w:type="dxa"/>
            </w:tcMar>
          </w:tcPr>
          <w:p>
            <w:pPr>
              <w:spacing w:after="0" w:line="252" w:lineRule="auto"/>
            </w:pPr>
            <w:r/>
            <w:r>
              <w:rPr>
                <w:rFonts w:ascii="Arial" w:hAnsi="Arial"/>
                <w:b w:val="0"/>
                <w:color w:val="231F20"/>
                <w:sz w:val="17"/>
              </w:rPr>
              <w:t>Authority</w:t>
            </w:r>
          </w:p>
        </w:tc>
        <w:tc>
          <w:tcPr>
            <w:tcW w:type="dxa" w:w="4340"/>
            <w:vAlign w:val="center"/>
            <w:tcMar>
              <w:top w:w="100" w:type="dxa"/>
              <w:start w:w="140" w:type="dxa"/>
              <w:bottom w:w="100" w:type="dxa"/>
              <w:end w:w="140" w:type="dxa"/>
            </w:tcMar>
          </w:tcPr>
          <w:p>
            <w:pPr>
              <w:spacing w:after="0" w:line="252" w:lineRule="auto"/>
            </w:pPr>
            <w:r/>
            <w:r>
              <w:rPr>
                <w:rFonts w:ascii="Arial" w:hAnsi="Arial"/>
                <w:b w:val="0"/>
                <w:color w:val="231F20"/>
                <w:sz w:val="17"/>
              </w:rPr>
              <w:t>A rich year-by-year article with archive-informed imagery, selected listening and local discovery links.</w:t>
            </w:r>
          </w:p>
        </w:tc>
      </w:tr>
      <w:tr>
        <w:tc>
          <w:tcPr>
            <w:tcW w:type="dxa" w:w="2140"/>
            <w:shd w:fill="F4F6F9"/>
            <w:vAlign w:val="center"/>
            <w:tcMar>
              <w:top w:w="100" w:type="dxa"/>
              <w:start w:w="140" w:type="dxa"/>
              <w:bottom w:w="100" w:type="dxa"/>
              <w:end w:w="140" w:type="dxa"/>
            </w:tcMar>
          </w:tcPr>
          <w:p>
            <w:pPr>
              <w:spacing w:after="0" w:line="252" w:lineRule="auto"/>
            </w:pPr>
            <w:r/>
            <w:r>
              <w:rPr>
                <w:rFonts w:ascii="Arial" w:hAnsi="Arial"/>
                <w:b/>
                <w:color w:val="162338"/>
                <w:sz w:val="17"/>
              </w:rPr>
              <w:t>Carousel</w:t>
            </w:r>
          </w:p>
        </w:tc>
        <w:tc>
          <w:tcPr>
            <w:tcW w:type="dxa" w:w="288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Conversation</w:t>
            </w:r>
          </w:p>
        </w:tc>
        <w:tc>
          <w:tcPr>
            <w:tcW w:type="dxa" w:w="434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Seven slides: cover, artist/sound, why it mattered, key track, cultural context, honourable mentions, audience question.</w:t>
            </w:r>
          </w:p>
        </w:tc>
      </w:tr>
      <w:tr>
        <w:tc>
          <w:tcPr>
            <w:tcW w:type="dxa" w:w="2140"/>
            <w:vAlign w:val="center"/>
            <w:tcMar>
              <w:top w:w="100" w:type="dxa"/>
              <w:start w:w="140" w:type="dxa"/>
              <w:bottom w:w="100" w:type="dxa"/>
              <w:end w:w="140" w:type="dxa"/>
            </w:tcMar>
          </w:tcPr>
          <w:p>
            <w:pPr>
              <w:spacing w:after="0" w:line="252" w:lineRule="auto"/>
            </w:pPr>
            <w:r/>
            <w:r>
              <w:rPr>
                <w:rFonts w:ascii="Arial" w:hAnsi="Arial"/>
                <w:b/>
                <w:color w:val="162338"/>
                <w:sz w:val="17"/>
              </w:rPr>
              <w:t>Reel / short video</w:t>
            </w:r>
          </w:p>
        </w:tc>
        <w:tc>
          <w:tcPr>
            <w:tcW w:type="dxa" w:w="2880"/>
            <w:vAlign w:val="center"/>
            <w:tcMar>
              <w:top w:w="100" w:type="dxa"/>
              <w:start w:w="140" w:type="dxa"/>
              <w:bottom w:w="100" w:type="dxa"/>
              <w:end w:w="140" w:type="dxa"/>
            </w:tcMar>
          </w:tcPr>
          <w:p>
            <w:pPr>
              <w:spacing w:after="0" w:line="252" w:lineRule="auto"/>
            </w:pPr>
            <w:r/>
            <w:r>
              <w:rPr>
                <w:rFonts w:ascii="Arial" w:hAnsi="Arial"/>
                <w:b w:val="0"/>
                <w:color w:val="231F20"/>
                <w:sz w:val="17"/>
              </w:rPr>
              <w:t>Reach</w:t>
            </w:r>
          </w:p>
        </w:tc>
        <w:tc>
          <w:tcPr>
            <w:tcW w:type="dxa" w:w="4340"/>
            <w:vAlign w:val="center"/>
            <w:tcMar>
              <w:top w:w="100" w:type="dxa"/>
              <w:start w:w="140" w:type="dxa"/>
              <w:bottom w:w="100" w:type="dxa"/>
              <w:end w:w="140" w:type="dxa"/>
            </w:tcMar>
          </w:tcPr>
          <w:p>
            <w:pPr>
              <w:spacing w:after="0" w:line="252" w:lineRule="auto"/>
            </w:pPr>
            <w:r/>
            <w:r>
              <w:rPr>
                <w:rFonts w:ascii="Arial" w:hAnsi="Arial"/>
                <w:b w:val="0"/>
                <w:color w:val="231F20"/>
                <w:sz w:val="17"/>
              </w:rPr>
              <w:t>Fast visual storytelling with licensed audio or original narration, text-led context and a clear discovery prompt.</w:t>
            </w:r>
          </w:p>
        </w:tc>
      </w:tr>
      <w:tr>
        <w:tc>
          <w:tcPr>
            <w:tcW w:type="dxa" w:w="2140"/>
            <w:shd w:fill="F4F6F9"/>
            <w:vAlign w:val="center"/>
            <w:tcMar>
              <w:top w:w="100" w:type="dxa"/>
              <w:start w:w="140" w:type="dxa"/>
              <w:bottom w:w="100" w:type="dxa"/>
              <w:end w:w="140" w:type="dxa"/>
            </w:tcMar>
          </w:tcPr>
          <w:p>
            <w:pPr>
              <w:spacing w:after="0" w:line="252" w:lineRule="auto"/>
            </w:pPr>
            <w:r/>
            <w:r>
              <w:rPr>
                <w:rFonts w:ascii="Arial" w:hAnsi="Arial"/>
                <w:b/>
                <w:color w:val="162338"/>
                <w:sz w:val="17"/>
              </w:rPr>
              <w:t>Story poll</w:t>
            </w:r>
          </w:p>
        </w:tc>
        <w:tc>
          <w:tcPr>
            <w:tcW w:type="dxa" w:w="288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Participation</w:t>
            </w:r>
          </w:p>
        </w:tc>
        <w:tc>
          <w:tcPr>
            <w:tcW w:type="dxa" w:w="4340"/>
            <w:shd w:fill="F4F6F9"/>
            <w:vAlign w:val="center"/>
            <w:tcMar>
              <w:top w:w="100" w:type="dxa"/>
              <w:start w:w="140" w:type="dxa"/>
              <w:bottom w:w="100" w:type="dxa"/>
              <w:end w:w="140" w:type="dxa"/>
            </w:tcMar>
          </w:tcPr>
          <w:p>
            <w:pPr>
              <w:spacing w:after="0" w:line="252" w:lineRule="auto"/>
            </w:pPr>
            <w:r/>
            <w:r>
              <w:rPr>
                <w:rFonts w:ascii="Arial" w:hAnsi="Arial"/>
                <w:b w:val="0"/>
                <w:color w:val="231F20"/>
                <w:sz w:val="17"/>
              </w:rPr>
              <w:t>Let audiences nominate their pick before revealing the editorial selection.</w:t>
            </w:r>
          </w:p>
        </w:tc>
      </w:tr>
    </w:tbl>
    <w:p>
      <w:pPr>
        <w:pStyle w:val="Heading2"/>
      </w:pPr>
      <w:r>
        <w:t>Sample carousel flow</w:t>
      </w:r>
    </w:p>
    <w:p>
      <w:pPr>
        <w:pStyle w:val="ListBullet"/>
        <w:spacing w:after="40" w:line="264" w:lineRule="auto"/>
      </w:pPr>
      <w:r>
        <w:t>Cover: “1993: The sound that found us”</w:t>
      </w:r>
    </w:p>
    <w:p>
      <w:pPr>
        <w:pStyle w:val="ListBullet"/>
        <w:spacing w:after="40" w:line="264" w:lineRule="auto"/>
      </w:pPr>
      <w:r>
        <w:t>The chosen artist, sound or movement</w:t>
      </w:r>
    </w:p>
    <w:p>
      <w:pPr>
        <w:pStyle w:val="ListBullet"/>
        <w:spacing w:after="40" w:line="264" w:lineRule="auto"/>
      </w:pPr>
      <w:r>
        <w:t>Why this year mattered</w:t>
      </w:r>
    </w:p>
    <w:p>
      <w:pPr>
        <w:pStyle w:val="ListBullet"/>
        <w:spacing w:after="40" w:line="264" w:lineRule="auto"/>
      </w:pPr>
      <w:r>
        <w:t>The song, riddim or performance that defined it</w:t>
      </w:r>
    </w:p>
    <w:p>
      <w:pPr>
        <w:pStyle w:val="ListBullet"/>
        <w:spacing w:after="40" w:line="264" w:lineRule="auto"/>
      </w:pPr>
      <w:r>
        <w:t>The local cultural context</w:t>
      </w:r>
    </w:p>
    <w:p>
      <w:pPr>
        <w:pStyle w:val="ListBullet"/>
        <w:spacing w:after="40" w:line="264" w:lineRule="auto"/>
      </w:pPr>
      <w:r>
        <w:t>Also in the conversation</w:t>
      </w:r>
    </w:p>
    <w:p>
      <w:pPr>
        <w:pStyle w:val="ListBullet"/>
        <w:spacing w:after="40" w:line="264" w:lineRule="auto"/>
      </w:pPr>
      <w:r>
        <w:t>“Who do you think owned this year?” plus a FindYello discovery prompt</w:t>
      </w:r>
    </w:p>
    <w:p>
      <w:pPr>
        <w:pStyle w:val="Heading1"/>
      </w:pPr>
      <w:r>
        <w:t>Voice and visual direction</w:t>
      </w:r>
    </w:p>
    <w:p>
      <w:r>
        <w:t>The tone should be confident, curious and warm. It should make room for healthy debate without speaking as if one perspective can settle Caribbean music history. Use plain, vivid language and name the local details that make each story feel lived-in.</w:t>
      </w:r>
    </w:p>
    <w:tbl>
      <w:tblPr>
        <w:tblW w:type="auto" w:w="9360"/>
        <w:jc w:val="left"/>
        <w:tblLayout w:type="fixed"/>
        <w:tblLook w:firstColumn="1" w:firstRow="1" w:lastColumn="0" w:lastRow="0" w:noHBand="0" w:noVBand="1" w:val="04A0"/>
      </w:tblPr>
      <w:tblGrid>
        <w:gridCol w:w="4620"/>
        <w:gridCol w:w="4740"/>
      </w:tblGrid>
      <w:tr>
        <w:tc>
          <w:tcPr>
            <w:tcW w:type="dxa" w:w="4620"/>
            <w:shd w:fill="F5F1E9"/>
            <w:vAlign w:val="center"/>
            <w:tcMar>
              <w:top w:w="100" w:type="dxa"/>
              <w:start w:w="140" w:type="dxa"/>
              <w:bottom w:w="100" w:type="dxa"/>
              <w:end w:w="140" w:type="dxa"/>
            </w:tcMar>
          </w:tcPr>
          <w:p>
            <w:pPr>
              <w:spacing w:after="0" w:line="252" w:lineRule="auto"/>
            </w:pPr>
            <w:r/>
            <w:r>
              <w:rPr>
                <w:rFonts w:ascii="Arial" w:hAnsi="Arial"/>
                <w:b w:val="0"/>
                <w:color w:val="162338"/>
                <w:sz w:val="18"/>
              </w:rPr>
              <w:t>Do</w:t>
              <w:br/>
              <w:t>Lead with real cultural context. Credit the ecosystem around the artist. Keep imagery warm, textured and human. Invite contribution and correction respectfully.</w:t>
            </w:r>
          </w:p>
        </w:tc>
        <w:tc>
          <w:tcPr>
            <w:tcW w:type="dxa" w:w="4740"/>
            <w:shd w:fill="F4F6F9"/>
            <w:vAlign w:val="center"/>
            <w:tcMar>
              <w:top w:w="100" w:type="dxa"/>
              <w:start w:w="140" w:type="dxa"/>
              <w:bottom w:w="100" w:type="dxa"/>
              <w:end w:w="140" w:type="dxa"/>
            </w:tcMar>
          </w:tcPr>
          <w:p>
            <w:pPr>
              <w:spacing w:after="0" w:line="252" w:lineRule="auto"/>
            </w:pPr>
            <w:r/>
            <w:r>
              <w:rPr>
                <w:rFonts w:ascii="Arial" w:hAnsi="Arial"/>
                <w:b w:val="0"/>
                <w:color w:val="231F20"/>
                <w:sz w:val="18"/>
              </w:rPr>
              <w:t>Avoid</w:t>
              <w:br/>
              <w:t>Reducing the Caribbean to one genre or island. Treating culture only as a marketing backdrop. Using unlicensed music, unclear archival rights or definitive claims without research.</w:t>
            </w:r>
          </w:p>
        </w:tc>
      </w:tr>
    </w:tbl>
    <w:p>
      <w:pPr>
        <w:pStyle w:val="Heading1"/>
      </w:pPr>
      <w:r>
        <w:t>Regional expansion</w:t>
      </w:r>
    </w:p>
    <w:p>
      <w:r>
        <w:t>After Jamaica, build island editions with local researchers and partners. The format remains consistent, while each edition honours the genres and history that make its territory distinct.</w:t>
      </w:r>
    </w:p>
    <w:p>
      <w:pPr>
        <w:pStyle w:val="ListBullet"/>
        <w:spacing w:after="40" w:line="264" w:lineRule="auto"/>
      </w:pPr>
      <w:r>
        <w:t>Trinidad &amp; Tobago: calypso, soca and carnival movements</w:t>
      </w:r>
    </w:p>
    <w:p>
      <w:pPr>
        <w:pStyle w:val="ListBullet"/>
        <w:spacing w:after="40" w:line="264" w:lineRule="auto"/>
      </w:pPr>
      <w:r>
        <w:t>Barbados: spouge, soca and contemporary crossover</w:t>
      </w:r>
    </w:p>
    <w:p>
      <w:pPr>
        <w:pStyle w:val="ListBullet"/>
        <w:spacing w:after="40" w:line="264" w:lineRule="auto"/>
      </w:pPr>
      <w:r>
        <w:t>Dominica and St Lucia: bouyon, cadence-lypso and creole traditions</w:t>
      </w:r>
    </w:p>
    <w:p>
      <w:pPr>
        <w:pStyle w:val="ListBullet"/>
        <w:spacing w:after="40" w:line="264" w:lineRule="auto"/>
      </w:pPr>
      <w:r>
        <w:t>Haiti: kompa, rara and diaspora influence</w:t>
      </w:r>
    </w:p>
    <w:p>
      <w:pPr>
        <w:pStyle w:val="ListBullet"/>
        <w:spacing w:after="40" w:line="264" w:lineRule="auto"/>
      </w:pPr>
      <w:r>
        <w:t>The wider diaspora: UK, Canada and US moments that reshaped Caribbean sound</w:t>
      </w:r>
    </w:p>
    <w:p>
      <w:pPr>
        <w:pStyle w:val="Heading1"/>
      </w:pPr>
      <w:r>
        <w:t>How to make it credible</w:t>
      </w:r>
    </w:p>
    <w:p>
      <w:r>
        <w:t>A good concept needs a careful editorial process. The goal is not to claim ownership over the history; it is to create a well-made, transparent platform for people to revisit it.</w:t>
      </w:r>
    </w:p>
    <w:tbl>
      <w:tblPr>
        <w:tblW w:type="auto" w:w="9360"/>
        <w:jc w:val="left"/>
        <w:tblLayout w:type="fixed"/>
        <w:tblLook w:firstColumn="1" w:firstRow="1" w:lastColumn="0" w:lastRow="0" w:noHBand="0" w:noVBand="1" w:val="04A0"/>
      </w:tblPr>
      <w:tblGrid>
        <w:gridCol w:w="2680"/>
        <w:gridCol w:w="6680"/>
      </w:tblGrid>
      <w:tr>
        <w:tc>
          <w:tcPr>
            <w:tcW w:type="dxa" w:w="2680"/>
            <w:shd w:fill="D7E1F1"/>
            <w:vAlign w:val="center"/>
            <w:tcMar>
              <w:top w:w="100" w:type="dxa"/>
              <w:start w:w="140" w:type="dxa"/>
              <w:bottom w:w="100" w:type="dxa"/>
              <w:end w:w="140" w:type="dxa"/>
            </w:tcMar>
          </w:tcPr>
          <w:p>
            <w:pPr>
              <w:spacing w:after="0" w:line="252" w:lineRule="auto"/>
            </w:pPr>
            <w:r/>
            <w:r>
              <w:rPr>
                <w:rFonts w:ascii="Arial" w:hAnsi="Arial"/>
                <w:b/>
                <w:color w:val="162338"/>
                <w:sz w:val="18"/>
              </w:rPr>
              <w:t>Set the selection criteria</w:t>
            </w:r>
          </w:p>
        </w:tc>
        <w:tc>
          <w:tcPr>
            <w:tcW w:type="dxa" w:w="6680"/>
            <w:vAlign w:val="center"/>
            <w:tcMar>
              <w:top w:w="100" w:type="dxa"/>
              <w:start w:w="140" w:type="dxa"/>
              <w:bottom w:w="100" w:type="dxa"/>
              <w:end w:w="140" w:type="dxa"/>
            </w:tcMar>
          </w:tcPr>
          <w:p>
            <w:pPr>
              <w:spacing w:after="0" w:line="252" w:lineRule="auto"/>
            </w:pPr>
            <w:r/>
            <w:r>
              <w:rPr>
                <w:rFonts w:ascii="Arial" w:hAnsi="Arial"/>
                <w:b w:val="0"/>
                <w:color w:val="231F20"/>
                <w:sz w:val="18"/>
              </w:rPr>
              <w:t>Agree an editorial rubric: cultural impact, quality of work, reach, local relevance, influence and live performance.</w:t>
            </w:r>
          </w:p>
        </w:tc>
      </w:tr>
      <w:tr>
        <w:tc>
          <w:tcPr>
            <w:tcW w:type="dxa" w:w="2680"/>
            <w:shd w:fill="F5F1E9"/>
            <w:vAlign w:val="center"/>
            <w:tcMar>
              <w:top w:w="100" w:type="dxa"/>
              <w:start w:w="140" w:type="dxa"/>
              <w:bottom w:w="100" w:type="dxa"/>
              <w:end w:w="140" w:type="dxa"/>
            </w:tcMar>
          </w:tcPr>
          <w:p>
            <w:pPr>
              <w:spacing w:after="0" w:line="252" w:lineRule="auto"/>
            </w:pPr>
            <w:r/>
            <w:r>
              <w:rPr>
                <w:rFonts w:ascii="Arial" w:hAnsi="Arial"/>
                <w:b/>
                <w:color w:val="162338"/>
                <w:sz w:val="18"/>
              </w:rPr>
              <w:t>Bring in local voices</w:t>
            </w:r>
          </w:p>
        </w:tc>
        <w:tc>
          <w:tcPr>
            <w:tcW w:type="dxa" w:w="6680"/>
            <w:vAlign w:val="center"/>
            <w:tcMar>
              <w:top w:w="100" w:type="dxa"/>
              <w:start w:w="140" w:type="dxa"/>
              <w:bottom w:w="100" w:type="dxa"/>
              <w:end w:w="140" w:type="dxa"/>
            </w:tcMar>
          </w:tcPr>
          <w:p>
            <w:pPr>
              <w:spacing w:after="0" w:line="252" w:lineRule="auto"/>
            </w:pPr>
            <w:r/>
            <w:r>
              <w:rPr>
                <w:rFonts w:ascii="Arial" w:hAnsi="Arial"/>
                <w:b w:val="0"/>
                <w:color w:val="231F20"/>
                <w:sz w:val="18"/>
              </w:rPr>
              <w:t>Use music journalists, DJs, producers, historians, selectors and artists as advisors or contributors.</w:t>
            </w:r>
          </w:p>
        </w:tc>
      </w:tr>
      <w:tr>
        <w:tc>
          <w:tcPr>
            <w:tcW w:type="dxa" w:w="2680"/>
            <w:shd w:fill="D7E1F1"/>
            <w:vAlign w:val="center"/>
            <w:tcMar>
              <w:top w:w="100" w:type="dxa"/>
              <w:start w:w="140" w:type="dxa"/>
              <w:bottom w:w="100" w:type="dxa"/>
              <w:end w:w="140" w:type="dxa"/>
            </w:tcMar>
          </w:tcPr>
          <w:p>
            <w:pPr>
              <w:spacing w:after="0" w:line="252" w:lineRule="auto"/>
            </w:pPr>
            <w:r/>
            <w:r>
              <w:rPr>
                <w:rFonts w:ascii="Arial" w:hAnsi="Arial"/>
                <w:b/>
                <w:color w:val="162338"/>
                <w:sz w:val="18"/>
              </w:rPr>
              <w:t>Fact-check each entry</w:t>
            </w:r>
          </w:p>
        </w:tc>
        <w:tc>
          <w:tcPr>
            <w:tcW w:type="dxa" w:w="6680"/>
            <w:vAlign w:val="center"/>
            <w:tcMar>
              <w:top w:w="100" w:type="dxa"/>
              <w:start w:w="140" w:type="dxa"/>
              <w:bottom w:w="100" w:type="dxa"/>
              <w:end w:w="140" w:type="dxa"/>
            </w:tcMar>
          </w:tcPr>
          <w:p>
            <w:pPr>
              <w:spacing w:after="0" w:line="252" w:lineRule="auto"/>
            </w:pPr>
            <w:r/>
            <w:r>
              <w:rPr>
                <w:rFonts w:ascii="Arial" w:hAnsi="Arial"/>
                <w:b w:val="0"/>
                <w:color w:val="231F20"/>
                <w:sz w:val="18"/>
              </w:rPr>
              <w:t>Confirm release dates, chart claims, awards, credits and historical context before publishing.</w:t>
            </w:r>
          </w:p>
        </w:tc>
      </w:tr>
      <w:tr>
        <w:tc>
          <w:tcPr>
            <w:tcW w:type="dxa" w:w="2680"/>
            <w:shd w:fill="F5F1E9"/>
            <w:vAlign w:val="center"/>
            <w:tcMar>
              <w:top w:w="100" w:type="dxa"/>
              <w:start w:w="140" w:type="dxa"/>
              <w:bottom w:w="100" w:type="dxa"/>
              <w:end w:w="140" w:type="dxa"/>
            </w:tcMar>
          </w:tcPr>
          <w:p>
            <w:pPr>
              <w:spacing w:after="0" w:line="252" w:lineRule="auto"/>
            </w:pPr>
            <w:r/>
            <w:r>
              <w:rPr>
                <w:rFonts w:ascii="Arial" w:hAnsi="Arial"/>
                <w:b/>
                <w:color w:val="162338"/>
                <w:sz w:val="18"/>
              </w:rPr>
              <w:t>Clear rights early</w:t>
            </w:r>
          </w:p>
        </w:tc>
        <w:tc>
          <w:tcPr>
            <w:tcW w:type="dxa" w:w="6680"/>
            <w:vAlign w:val="center"/>
            <w:tcMar>
              <w:top w:w="100" w:type="dxa"/>
              <w:start w:w="140" w:type="dxa"/>
              <w:bottom w:w="100" w:type="dxa"/>
              <w:end w:w="140" w:type="dxa"/>
            </w:tcMar>
          </w:tcPr>
          <w:p>
            <w:pPr>
              <w:spacing w:after="0" w:line="252" w:lineRule="auto"/>
            </w:pPr>
            <w:r/>
            <w:r>
              <w:rPr>
                <w:rFonts w:ascii="Arial" w:hAnsi="Arial"/>
                <w:b w:val="0"/>
                <w:color w:val="231F20"/>
                <w:sz w:val="18"/>
              </w:rPr>
              <w:t>Decide what can be used for images, audio clips, video and archival material before production.</w:t>
            </w:r>
          </w:p>
        </w:tc>
      </w:tr>
      <w:tr>
        <w:tc>
          <w:tcPr>
            <w:tcW w:type="dxa" w:w="2680"/>
            <w:shd w:fill="D7E1F1"/>
            <w:vAlign w:val="center"/>
            <w:tcMar>
              <w:top w:w="100" w:type="dxa"/>
              <w:start w:w="140" w:type="dxa"/>
              <w:bottom w:w="100" w:type="dxa"/>
              <w:end w:w="140" w:type="dxa"/>
            </w:tcMar>
          </w:tcPr>
          <w:p>
            <w:pPr>
              <w:spacing w:after="0" w:line="252" w:lineRule="auto"/>
            </w:pPr>
            <w:r/>
            <w:r>
              <w:rPr>
                <w:rFonts w:ascii="Arial" w:hAnsi="Arial"/>
                <w:b/>
                <w:color w:val="162338"/>
                <w:sz w:val="18"/>
              </w:rPr>
              <w:t>Show the method</w:t>
            </w:r>
          </w:p>
        </w:tc>
        <w:tc>
          <w:tcPr>
            <w:tcW w:type="dxa" w:w="6680"/>
            <w:vAlign w:val="center"/>
            <w:tcMar>
              <w:top w:w="100" w:type="dxa"/>
              <w:start w:w="140" w:type="dxa"/>
              <w:bottom w:w="100" w:type="dxa"/>
              <w:end w:w="140" w:type="dxa"/>
            </w:tcMar>
          </w:tcPr>
          <w:p>
            <w:pPr>
              <w:spacing w:after="0" w:line="252" w:lineRule="auto"/>
            </w:pPr>
            <w:r/>
            <w:r>
              <w:rPr>
                <w:rFonts w:ascii="Arial" w:hAnsi="Arial"/>
                <w:b w:val="0"/>
                <w:color w:val="231F20"/>
                <w:sz w:val="18"/>
              </w:rPr>
              <w:t>Add a short note explaining that selections reflect research and editorial judgement, while welcoming respectful debate.</w:t>
            </w:r>
          </w:p>
        </w:tc>
      </w:tr>
    </w:tbl>
    <w:p>
      <w:pPr>
        <w:pStyle w:val="Heading1"/>
      </w:pPr>
      <w:r>
        <w:t>Success measures</w:t>
      </w:r>
    </w:p>
    <w:p>
      <w:r>
        <w:t>Track both cultural engagement and practical discovery. This makes the series valuable as a brand-building asset as well as a pathway to local businesses.</w:t>
      </w:r>
    </w:p>
    <w:p>
      <w:pPr>
        <w:pStyle w:val="ListBullet"/>
        <w:spacing w:after="40" w:line="264" w:lineRule="auto"/>
      </w:pPr>
      <w:r>
        <w:t>Reach and video completion among younger, digital-first audiences</w:t>
      </w:r>
    </w:p>
    <w:p>
      <w:pPr>
        <w:pStyle w:val="ListBullet"/>
        <w:spacing w:after="40" w:line="264" w:lineRule="auto"/>
      </w:pPr>
      <w:r>
        <w:t>Saves, shares, comments and poll participation</w:t>
      </w:r>
    </w:p>
    <w:p>
      <w:pPr>
        <w:pStyle w:val="ListBullet"/>
        <w:spacing w:after="40" w:line="264" w:lineRule="auto"/>
      </w:pPr>
      <w:r>
        <w:t>Article reads, time on page and return visits</w:t>
      </w:r>
    </w:p>
    <w:p>
      <w:pPr>
        <w:pStyle w:val="ListBullet"/>
        <w:spacing w:after="40" w:line="264" w:lineRule="auto"/>
      </w:pPr>
      <w:r>
        <w:t>Clicks into FindYello categories, businesses and culture routes</w:t>
      </w:r>
    </w:p>
    <w:p>
      <w:pPr>
        <w:pStyle w:val="ListBullet"/>
        <w:spacing w:after="40" w:line="264" w:lineRule="auto"/>
      </w:pPr>
      <w:r>
        <w:t>Partner participation from festivals, venues, music bodies and local brands</w:t>
      </w:r>
    </w:p>
    <w:p>
      <w:pPr>
        <w:pStyle w:val="ListBullet"/>
        <w:spacing w:after="40" w:line="264" w:lineRule="auto"/>
      </w:pPr>
      <w:r>
        <w:t>Brand relevance and association with Caribbean culture and discovery</w:t>
      </w:r>
    </w:p>
    <w:p>
      <w:pPr>
        <w:pStyle w:val="Heading1"/>
      </w:pPr>
      <w:r>
        <w:t>Recommended next step</w:t>
      </w:r>
    </w:p>
    <w:tbl>
      <w:tblPr>
        <w:tblW w:type="auto" w:w="9360"/>
        <w:jc w:val="left"/>
        <w:tblLayout w:type="fixed"/>
        <w:tblLook w:firstColumn="1" w:firstRow="1" w:lastColumn="0" w:lastRow="0" w:noHBand="0" w:noVBand="1" w:val="04A0"/>
      </w:tblPr>
      <w:tblGrid>
        <w:gridCol w:w="9360"/>
      </w:tblGrid>
      <w:tr>
        <w:tc>
          <w:tcPr>
            <w:tcW w:type="dxa" w:w="9360"/>
            <w:shd w:fill="F5F1E9"/>
            <w:tcMar>
              <w:top w:w="150" w:type="dxa"/>
              <w:start w:w="220" w:type="dxa"/>
              <w:bottom w:w="150" w:type="dxa"/>
              <w:end w:w="220" w:type="dxa"/>
            </w:tcMar>
          </w:tcPr>
          <w:p>
            <w:pPr>
              <w:spacing w:after="0"/>
            </w:pPr>
            <w:r>
              <w:rPr>
                <w:rFonts w:ascii="Arial" w:hAnsi="Arial"/>
                <w:b/>
                <w:color w:val="162338"/>
                <w:sz w:val="20"/>
              </w:rPr>
              <w:t xml:space="preserve">Pilot proposal  </w:t>
            </w:r>
            <w:r>
              <w:rPr>
                <w:rFonts w:ascii="Arial" w:hAnsi="Arial"/>
                <w:b w:val="0"/>
                <w:color w:val="231F20"/>
                <w:sz w:val="20"/>
              </w:rPr>
              <w:t>Develop a 12-entry Jamaica pilot, supported by one hero article, a weekly social series and a curated “Find the Culture” discovery route. Use the pilot to test audience debate, content performance and local partner interest before expanding regionally.</w:t>
            </w:r>
          </w:p>
        </w:tc>
      </w:tr>
    </w:tbl>
    <w:p>
      <w:pPr>
        <w:spacing w:after="20"/>
      </w:pPr>
    </w:p>
    <w:p>
      <w:pPr>
        <w:spacing w:before="160"/>
      </w:pPr>
      <w:r>
        <w:t>Prepared for discussion. Artist selections, historical claims, licensed assets and partner listings should be confirmed through a formal research and rights process before publication.</w:t>
      </w:r>
    </w:p>
    <w:sectPr w:rsidR="00FC693F" w:rsidRPr="0006063C" w:rsidSect="00034616">
      <w:footerReference w:type="default" r:id="rId9"/>
      <w:pgSz w:w="12240" w:h="15840"/>
      <w:pgMar w:top="1152" w:right="1181" w:bottom="1080" w:left="1181"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color w:val="6C7280"/>
        <w:sz w:val="16"/>
      </w:rPr>
      <w:t xml:space="preserve">YELLO MEDIA GROUP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b w:val="0"/>
      <w:color w:val="231F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rial" w:hAnsi="Arial"/>
      <w:b/>
      <w:bCs/>
      <w:color w:val="162338"/>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Arial" w:hAnsi="Arial"/>
      <w:b/>
      <w:bCs/>
      <w:color w:val="1E2F51"/>
      <w:sz w:val="25"/>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ascii="Arial" w:hAnsi="Arial"/>
      <w:b/>
      <w:bCs/>
      <w:color w:val="AC84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